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A4" w:rsidRPr="00E12FBE" w:rsidRDefault="00E12FBE">
      <w:pPr>
        <w:rPr>
          <w:rFonts w:ascii="Helvetica" w:hAnsi="Helvetica" w:cs="Helvetica"/>
          <w:color w:val="3A423E"/>
          <w:sz w:val="32"/>
          <w:szCs w:val="32"/>
        </w:rPr>
      </w:pPr>
      <w:r w:rsidRPr="00E12FBE">
        <w:rPr>
          <w:rFonts w:ascii="Helvetica" w:hAnsi="Helvetica" w:cs="Helvetica"/>
          <w:color w:val="3A423E"/>
          <w:sz w:val="32"/>
          <w:szCs w:val="32"/>
        </w:rPr>
        <w:t>6 Expert Ti</w:t>
      </w:r>
      <w:bookmarkStart w:id="0" w:name="_GoBack"/>
      <w:bookmarkEnd w:id="0"/>
      <w:r w:rsidRPr="00E12FBE">
        <w:rPr>
          <w:rFonts w:ascii="Helvetica" w:hAnsi="Helvetica" w:cs="Helvetica"/>
          <w:color w:val="3A423E"/>
          <w:sz w:val="32"/>
          <w:szCs w:val="32"/>
        </w:rPr>
        <w:t xml:space="preserve">ps </w:t>
      </w:r>
      <w:proofErr w:type="gramStart"/>
      <w:r w:rsidRPr="00E12FBE">
        <w:rPr>
          <w:rFonts w:ascii="Helvetica" w:hAnsi="Helvetica" w:cs="Helvetica"/>
          <w:color w:val="3A423E"/>
          <w:sz w:val="32"/>
          <w:szCs w:val="32"/>
        </w:rPr>
        <w:t>To</w:t>
      </w:r>
      <w:proofErr w:type="gramEnd"/>
      <w:r w:rsidRPr="00E12FBE">
        <w:rPr>
          <w:rFonts w:ascii="Helvetica" w:hAnsi="Helvetica" w:cs="Helvetica"/>
          <w:color w:val="3A423E"/>
          <w:sz w:val="32"/>
          <w:szCs w:val="32"/>
        </w:rPr>
        <w:t xml:space="preserve"> Become a More Persuasive Person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“Outreach” in the government world often means “marketing.”  The goal is to persuade outside stakeholders to help you achieve your public service mission.</w:t>
      </w:r>
    </w:p>
    <w:p w:rsidR="00E12FBE" w:rsidRPr="00E12FBE" w:rsidRDefault="00E12FBE" w:rsidP="00E12FBE">
      <w:pPr>
        <w:shd w:val="clear" w:color="auto" w:fill="EEEEEE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 xml:space="preserve">The more persuasive you are, the better you will be able to recruit support and collaboration to achieve your </w:t>
      </w:r>
      <w:proofErr w:type="spellStart"/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>ageny’s</w:t>
      </w:r>
      <w:proofErr w:type="spellEnd"/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 xml:space="preserve"> (or department’s) mission.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This could be to exercise more, stop smoking, sign up for military service.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For many federal agencies, the primary stakeholder may be state and local governments who implement the mission at the local level.  Education, Transportation, and EPA come to mind.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When you persuade, you are cultivating stakeholder trust and spurring action.  You want them to do something to help you achieve your agency’s or department’s mission.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For the purposes of this blog, let’s assume that being persuasive is a good thing for all involved.  When federal agency staff and leadership (and their contractors) become experts at the art of persuasion, they more fully achieve the mission.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hyperlink r:id="rId4" w:history="1">
        <w:r w:rsidRPr="00E12FBE">
          <w:rPr>
            <w:rFonts w:ascii="Open Sans" w:eastAsia="Times New Roman" w:hAnsi="Open Sans" w:cs="Arial"/>
            <w:color w:val="6A9F5D"/>
            <w:sz w:val="24"/>
            <w:szCs w:val="24"/>
            <w:u w:val="single"/>
          </w:rPr>
          <w:t xml:space="preserve">Robert </w:t>
        </w:r>
        <w:proofErr w:type="spellStart"/>
        <w:r w:rsidRPr="00E12FBE">
          <w:rPr>
            <w:rFonts w:ascii="Open Sans" w:eastAsia="Times New Roman" w:hAnsi="Open Sans" w:cs="Arial"/>
            <w:color w:val="6A9F5D"/>
            <w:sz w:val="24"/>
            <w:szCs w:val="24"/>
            <w:u w:val="single"/>
          </w:rPr>
          <w:t>Cialdini’s</w:t>
        </w:r>
        <w:proofErr w:type="spellEnd"/>
      </w:hyperlink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 xml:space="preserve"> six tactics for influencing behavior offers insights on how to drive positive engagement and action.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4585"/>
      </w:tblGrid>
      <w:tr w:rsidR="00E12FBE" w:rsidRPr="00E12FBE" w:rsidTr="00E12FBE">
        <w:trPr>
          <w:tblHeader/>
        </w:trPr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Influencing Tactic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Example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 xml:space="preserve">1) </w:t>
            </w:r>
            <w:hyperlink r:id="rId5" w:history="1">
              <w:r w:rsidRPr="00E12FBE">
                <w:rPr>
                  <w:rFonts w:ascii="Open Sans" w:eastAsia="Times New Roman" w:hAnsi="Open Sans" w:cs="Times New Roman"/>
                  <w:b/>
                  <w:bCs/>
                  <w:color w:val="6A9F5D"/>
                  <w:sz w:val="24"/>
                  <w:szCs w:val="24"/>
                  <w:u w:val="single"/>
                </w:rPr>
                <w:t>Reciprocity</w:t>
              </w:r>
            </w:hyperlink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 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– People tend to return a favor.</w:t>
            </w:r>
          </w:p>
          <w:p w:rsidR="00E12FBE" w:rsidRPr="00E12FBE" w:rsidRDefault="00E12FBE" w:rsidP="00E12FB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 </w:t>
            </w:r>
          </w:p>
          <w:p w:rsidR="00E12FBE" w:rsidRPr="00E12FBE" w:rsidRDefault="00E12FBE" w:rsidP="00E12FB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.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Offering free samples is known to increase sales. The “good cop/bad cop” scenario works because the good cop is looking out for you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 xml:space="preserve">2) Commitment and Consistency – 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If people commit, orally or in writing, to an idea or goal, they are more likely to honor it.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Even when the original motivation is removed, this works because it is tied to an individual’s self-image of being honorable. Memorandums of Agreement are an example of this.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3). Social Proof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 – People will do things that they see other people are doing.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See </w:t>
            </w:r>
            <w:hyperlink r:id="rId6" w:history="1">
              <w:r w:rsidRPr="00E12FBE">
                <w:rPr>
                  <w:rFonts w:ascii="Open Sans" w:eastAsia="Times New Roman" w:hAnsi="Open Sans" w:cs="Times New Roman"/>
                  <w:i/>
                  <w:iCs/>
                  <w:color w:val="6A9F5D"/>
                  <w:sz w:val="24"/>
                  <w:szCs w:val="24"/>
                  <w:u w:val="single"/>
                </w:rPr>
                <w:t>conformity</w:t>
              </w:r>
            </w:hyperlink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, and the </w:t>
            </w:r>
            <w:hyperlink r:id="rId7" w:history="1">
              <w:r w:rsidRPr="00E12FBE">
                <w:rPr>
                  <w:rFonts w:ascii="Open Sans" w:eastAsia="Times New Roman" w:hAnsi="Open Sans" w:cs="Times New Roman"/>
                  <w:i/>
                  <w:iCs/>
                  <w:color w:val="6A9F5D"/>
                  <w:sz w:val="24"/>
                  <w:szCs w:val="24"/>
                  <w:u w:val="single"/>
                </w:rPr>
                <w:t>Asch conformity experiments</w:t>
              </w:r>
            </w:hyperlink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. Federal Highway Administration’s </w:t>
            </w:r>
            <w:hyperlink r:id="rId8" w:history="1">
              <w:r w:rsidRPr="00E12FBE">
                <w:rPr>
                  <w:rFonts w:ascii="Open Sans" w:eastAsia="Times New Roman" w:hAnsi="Open Sans" w:cs="Times New Roman"/>
                  <w:i/>
                  <w:iCs/>
                  <w:color w:val="6A9F5D"/>
                  <w:sz w:val="24"/>
                  <w:szCs w:val="24"/>
                  <w:u w:val="single"/>
                </w:rPr>
                <w:t>Every Day Counts</w:t>
              </w:r>
            </w:hyperlink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 program is an example of using peer-to-peer best practices among state </w:t>
            </w:r>
            <w:proofErr w:type="spellStart"/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DoTs</w:t>
            </w:r>
            <w:proofErr w:type="spellEnd"/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 to drive improvement in highway construction.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4) Authority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 – People will tend to obey authority figures, even if they are asked to perform objectionable acts.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See the </w:t>
            </w:r>
            <w:hyperlink r:id="rId9" w:history="1">
              <w:r w:rsidRPr="00E12FBE">
                <w:rPr>
                  <w:rFonts w:ascii="Open Sans" w:eastAsia="Times New Roman" w:hAnsi="Open Sans" w:cs="Times New Roman"/>
                  <w:i/>
                  <w:iCs/>
                  <w:color w:val="6A9F5D"/>
                  <w:sz w:val="24"/>
                  <w:szCs w:val="24"/>
                  <w:u w:val="single"/>
                </w:rPr>
                <w:t>Milgram experiments</w:t>
              </w:r>
            </w:hyperlink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 in the early 1960s. Because government is inherently authoritative, this tactic should be used with caution.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t>5) Liking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— People are easily persuaded by people they like.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Viral videos that we watch because a friend or family member shared it with us is an example </w:t>
            </w: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lastRenderedPageBreak/>
              <w:t xml:space="preserve">of this. Often federal agencies will partner with a local organization to co-present their message. The assumption is that this organization is known and well-liked in the community. </w:t>
            </w:r>
          </w:p>
        </w:tc>
      </w:tr>
      <w:tr w:rsidR="00E12FBE" w:rsidRPr="00E12FBE" w:rsidTr="00E12FBE">
        <w:tc>
          <w:tcPr>
            <w:tcW w:w="631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b/>
                <w:bCs/>
                <w:color w:val="3A423E"/>
                <w:sz w:val="24"/>
                <w:szCs w:val="24"/>
              </w:rPr>
              <w:lastRenderedPageBreak/>
              <w:t>6) Scarcity</w:t>
            </w:r>
            <w:r w:rsidRPr="00E12FBE"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  <w:t>—Perceived scarcity will generate demand.</w:t>
            </w:r>
          </w:p>
          <w:p w:rsidR="00E12FBE" w:rsidRPr="00E12FBE" w:rsidRDefault="00E12FBE" w:rsidP="00E12FBE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> </w:t>
            </w:r>
          </w:p>
        </w:tc>
        <w:tc>
          <w:tcPr>
            <w:tcW w:w="7665" w:type="dxa"/>
            <w:vAlign w:val="center"/>
            <w:hideMark/>
          </w:tcPr>
          <w:p w:rsidR="00E12FBE" w:rsidRPr="00E12FBE" w:rsidRDefault="00E12FBE" w:rsidP="00E12FBE">
            <w:pPr>
              <w:spacing w:after="0" w:line="240" w:lineRule="auto"/>
              <w:rPr>
                <w:rFonts w:ascii="Open Sans" w:eastAsia="Times New Roman" w:hAnsi="Open Sans" w:cs="Times New Roman"/>
                <w:color w:val="3A423E"/>
                <w:sz w:val="24"/>
                <w:szCs w:val="24"/>
              </w:rPr>
            </w:pPr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“Limited time only” sales pitches are an example. A recent example was the skyrocketing price for </w:t>
            </w:r>
            <w:hyperlink r:id="rId10" w:history="1">
              <w:r w:rsidRPr="00E12FBE">
                <w:rPr>
                  <w:rFonts w:ascii="Open Sans" w:eastAsia="Times New Roman" w:hAnsi="Open Sans" w:cs="Times New Roman"/>
                  <w:i/>
                  <w:iCs/>
                  <w:color w:val="6A9F5D"/>
                  <w:sz w:val="24"/>
                  <w:szCs w:val="24"/>
                  <w:u w:val="single"/>
                </w:rPr>
                <w:t>Hamilton</w:t>
              </w:r>
            </w:hyperlink>
            <w:r w:rsidRPr="00E12FBE">
              <w:rPr>
                <w:rFonts w:ascii="Open Sans" w:eastAsia="Times New Roman" w:hAnsi="Open Sans" w:cs="Times New Roman"/>
                <w:i/>
                <w:iCs/>
                <w:color w:val="3A423E"/>
                <w:sz w:val="24"/>
                <w:szCs w:val="24"/>
              </w:rPr>
              <w:t xml:space="preserve"> tickets for Lin Manuel Miranda’s final performances. Since government resources are limited, this tactic could be used to drive positive action.</w:t>
            </w:r>
          </w:p>
        </w:tc>
      </w:tr>
    </w:tbl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If you can incorporate the above behavioral and decision sciences into your stakeholder engagement strategy, it will be more effective.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Please share how you have used any of the above tactics to drive positive behavior change within the government agency that you serve.</w:t>
      </w:r>
    </w:p>
    <w:p w:rsidR="00E12FBE" w:rsidRPr="00E12FBE" w:rsidRDefault="00E12FBE" w:rsidP="00E12FB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color w:val="3A423E"/>
          <w:sz w:val="24"/>
          <w:szCs w:val="24"/>
        </w:rPr>
      </w:pPr>
      <w:hyperlink r:id="rId11" w:history="1">
        <w:r w:rsidRPr="00E12FBE">
          <w:rPr>
            <w:rFonts w:ascii="Open Sans" w:eastAsia="Times New Roman" w:hAnsi="Open Sans" w:cs="Arial"/>
            <w:i/>
            <w:iCs/>
            <w:color w:val="6A9F5D"/>
            <w:sz w:val="24"/>
            <w:szCs w:val="24"/>
            <w:u w:val="single"/>
          </w:rPr>
          <w:t>Janice John Roper-Graham</w:t>
        </w:r>
      </w:hyperlink>
      <w:r w:rsidRPr="00E12FBE">
        <w:rPr>
          <w:rFonts w:ascii="Open Sans" w:eastAsia="Times New Roman" w:hAnsi="Open Sans" w:cs="Arial"/>
          <w:color w:val="3A423E"/>
          <w:sz w:val="24"/>
          <w:szCs w:val="24"/>
        </w:rPr>
        <w:t> </w:t>
      </w:r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 xml:space="preserve">is part of the </w:t>
      </w:r>
      <w:proofErr w:type="spellStart"/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>GovLoop</w:t>
      </w:r>
      <w:proofErr w:type="spellEnd"/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 xml:space="preserve"> Featured Blogger program, where we feature blog posts by government voices from all across the country (and world!). To see more Featured Blogger posts, click </w:t>
      </w:r>
      <w:hyperlink r:id="rId12" w:tgtFrame="_blank" w:history="1">
        <w:r w:rsidRPr="00E12FBE">
          <w:rPr>
            <w:rFonts w:ascii="Open Sans" w:eastAsia="Times New Roman" w:hAnsi="Open Sans" w:cs="Arial"/>
            <w:i/>
            <w:iCs/>
            <w:color w:val="6A9F5D"/>
            <w:sz w:val="24"/>
            <w:szCs w:val="24"/>
            <w:u w:val="single"/>
          </w:rPr>
          <w:t>here</w:t>
        </w:r>
      </w:hyperlink>
      <w:r w:rsidRPr="00E12FBE">
        <w:rPr>
          <w:rFonts w:ascii="Open Sans" w:eastAsia="Times New Roman" w:hAnsi="Open Sans" w:cs="Arial"/>
          <w:i/>
          <w:iCs/>
          <w:color w:val="3A423E"/>
          <w:sz w:val="24"/>
          <w:szCs w:val="24"/>
        </w:rPr>
        <w:t>.</w:t>
      </w:r>
    </w:p>
    <w:p w:rsidR="00E12FBE" w:rsidRDefault="00E12FBE"/>
    <w:sectPr w:rsidR="00E1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BE"/>
    <w:rsid w:val="00525EA4"/>
    <w:rsid w:val="00E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F2DE-524B-4BF8-A024-E0EAA22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9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wa.dot.gov/innovation/everydaycoun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sch_conformity_experiments" TargetMode="External"/><Relationship Id="rId12" Type="http://schemas.openxmlformats.org/officeDocument/2006/relationships/hyperlink" Target="https://www.govloop.com/tag/featured-blog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nformity_(psychology)" TargetMode="External"/><Relationship Id="rId11" Type="http://schemas.openxmlformats.org/officeDocument/2006/relationships/hyperlink" Target="https://www.govloop.com/members/JaniceJohnRoperGraham/" TargetMode="External"/><Relationship Id="rId5" Type="http://schemas.openxmlformats.org/officeDocument/2006/relationships/hyperlink" Target="https://en.wikipedia.org/wiki/Reciprocity_(cultural_anthropology)" TargetMode="External"/><Relationship Id="rId10" Type="http://schemas.openxmlformats.org/officeDocument/2006/relationships/hyperlink" Target="http://www.hamiltonbroadway.com/" TargetMode="External"/><Relationship Id="rId4" Type="http://schemas.openxmlformats.org/officeDocument/2006/relationships/hyperlink" Target="https://en.wikipedia.org/wiki/Robert_Cialdini" TargetMode="External"/><Relationship Id="rId9" Type="http://schemas.openxmlformats.org/officeDocument/2006/relationships/hyperlink" Target="https://en.wikipedia.org/wiki/Milgram_experi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stanley.capela</dc:creator>
  <cp:keywords/>
  <dc:description/>
  <cp:lastModifiedBy>stanley.capela</cp:lastModifiedBy>
  <cp:revision>1</cp:revision>
  <dcterms:created xsi:type="dcterms:W3CDTF">2016-09-12T17:22:00Z</dcterms:created>
  <dcterms:modified xsi:type="dcterms:W3CDTF">2016-09-12T17:25:00Z</dcterms:modified>
</cp:coreProperties>
</file>